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F04C6">
      <w:pPr>
        <w:pStyle w:val="2"/>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hint="eastAsia" w:ascii="宋体" w:hAnsi="宋体" w:eastAsia="宋体" w:cs="宋体"/>
          <w:b/>
          <w:bCs w:val="0"/>
          <w:color w:val="000000" w:themeColor="text1"/>
          <w:sz w:val="44"/>
          <w:szCs w:val="44"/>
          <w:highlight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bookmarkStart w:id="0" w:name="_GoBack"/>
      <w:bookmarkEnd w:id="0"/>
      <w:r>
        <w:rPr>
          <w:rFonts w:hint="eastAsia"/>
          <w:sz w:val="28"/>
          <w:szCs w:val="28"/>
          <w:highlight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 xml:space="preserve">附件4：             </w:t>
      </w:r>
      <w:r>
        <w:rPr>
          <w:rStyle w:val="7"/>
          <w:rFonts w:hint="eastAsia" w:ascii="宋体" w:hAnsi="宋体" w:eastAsia="宋体" w:cs="宋体"/>
          <w:b/>
          <w:bCs w:val="0"/>
          <w:i w:val="0"/>
          <w:iCs w:val="0"/>
          <w:caps w:val="0"/>
          <w:color w:val="000000" w:themeColor="text1"/>
          <w:spacing w:val="0"/>
          <w:kern w:val="0"/>
          <w:sz w:val="44"/>
          <w:szCs w:val="44"/>
          <w:highlight w:val="none"/>
          <w:vertAlign w:val="baseline"/>
          <w:lang w:val="en-US" w:eastAsia="zh-CN" w:bidi="ar"/>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综合评分明细表</w:t>
      </w:r>
    </w:p>
    <w:tbl>
      <w:tblPr>
        <w:tblStyle w:val="5"/>
        <w:tblpPr w:leftFromText="180" w:rightFromText="180" w:vertAnchor="text" w:horzAnchor="page" w:tblpX="2245" w:tblpY="534"/>
        <w:tblOverlap w:val="never"/>
        <w:tblW w:w="495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9"/>
        <w:gridCol w:w="642"/>
        <w:gridCol w:w="799"/>
        <w:gridCol w:w="6364"/>
      </w:tblGrid>
      <w:tr w14:paraId="13199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3" w:hRule="atLeast"/>
        </w:trPr>
        <w:tc>
          <w:tcPr>
            <w:tcW w:w="37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58484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val="0"/>
                <w:sz w:val="18"/>
                <w:szCs w:val="18"/>
                <w:highlight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b w:val="0"/>
                <w:bCs w:val="0"/>
                <w:sz w:val="18"/>
                <w:szCs w:val="18"/>
                <w:highlight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序号</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158998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18"/>
                <w:szCs w:val="18"/>
                <w:highlight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b w:val="0"/>
                <w:bCs w:val="0"/>
                <w:sz w:val="18"/>
                <w:szCs w:val="18"/>
                <w:highlight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评分因素</w:t>
            </w:r>
          </w:p>
        </w:tc>
        <w:tc>
          <w:tcPr>
            <w:tcW w:w="4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2E9F77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val="0"/>
                <w:sz w:val="18"/>
                <w:szCs w:val="18"/>
                <w:highlight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b w:val="0"/>
                <w:bCs w:val="0"/>
                <w:sz w:val="18"/>
                <w:szCs w:val="18"/>
                <w:highlight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分值（分）</w:t>
            </w:r>
          </w:p>
        </w:tc>
        <w:tc>
          <w:tcPr>
            <w:tcW w:w="37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6585A4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18"/>
                <w:szCs w:val="18"/>
                <w:highlight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b w:val="0"/>
                <w:bCs w:val="0"/>
                <w:sz w:val="18"/>
                <w:szCs w:val="18"/>
                <w:highlight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评审内容</w:t>
            </w:r>
          </w:p>
        </w:tc>
      </w:tr>
      <w:tr w14:paraId="35387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trPr>
        <w:tc>
          <w:tcPr>
            <w:tcW w:w="37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095657A0">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w:t>
            </w:r>
          </w:p>
        </w:tc>
        <w:tc>
          <w:tcPr>
            <w:tcW w:w="38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F2B28AB">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eastAsia" w:ascii="宋体" w:hAnsi="宋体" w:eastAsia="宋体" w:cs="宋体"/>
                <w:i w:val="0"/>
                <w:iCs w:val="0"/>
                <w:color w:val="000000"/>
                <w:kern w:val="2"/>
                <w:sz w:val="18"/>
                <w:szCs w:val="18"/>
                <w:highlight w:val="none"/>
                <w:u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报价</w:t>
            </w:r>
          </w:p>
        </w:tc>
        <w:tc>
          <w:tcPr>
            <w:tcW w:w="47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28620164">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30</w:t>
            </w:r>
          </w:p>
        </w:tc>
        <w:tc>
          <w:tcPr>
            <w:tcW w:w="376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71FC5D71">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满足谈判文件要求且响应报价最低的响应报价为基准价，其价格分为满分，其他供应商的价格分统一按照下列公式计算：响应报价得分=（基准价/响应报价）×响应报价分值。</w:t>
            </w:r>
          </w:p>
          <w:p w14:paraId="110866C7">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备注：1.响应报价=（1-下浮率）×最高限价；</w:t>
            </w:r>
          </w:p>
          <w:p w14:paraId="63C54E60">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color w:val="000000"/>
                <w:kern w:val="2"/>
                <w:sz w:val="18"/>
                <w:szCs w:val="18"/>
                <w:highlight w:val="none"/>
                <w:u w:val="none"/>
                <w:lang w:val="en-US" w:eastAsia="zh-CN" w:bidi="ar"/>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2.响应报价得分四舍五入后，小数点后保留两位有效数。</w:t>
            </w:r>
          </w:p>
        </w:tc>
      </w:tr>
      <w:tr w14:paraId="02B20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trPr>
        <w:tc>
          <w:tcPr>
            <w:tcW w:w="378" w:type="pct"/>
            <w:tcBorders>
              <w:top w:val="nil"/>
              <w:left w:val="single" w:color="000000" w:sz="8" w:space="0"/>
              <w:bottom w:val="single" w:color="000000" w:sz="8" w:space="0"/>
              <w:right w:val="single" w:color="000000" w:sz="8" w:space="0"/>
            </w:tcBorders>
            <w:shd w:val="clear" w:color="auto" w:fill="auto"/>
            <w:vAlign w:val="center"/>
          </w:tcPr>
          <w:p w14:paraId="320BFCF4">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w:t>
            </w:r>
          </w:p>
        </w:tc>
        <w:tc>
          <w:tcPr>
            <w:tcW w:w="380" w:type="pct"/>
            <w:tcBorders>
              <w:top w:val="nil"/>
              <w:left w:val="single" w:color="000000" w:sz="8" w:space="0"/>
              <w:bottom w:val="single" w:color="000000" w:sz="8" w:space="0"/>
              <w:right w:val="single" w:color="000000" w:sz="8" w:space="0"/>
            </w:tcBorders>
            <w:shd w:val="clear" w:color="auto" w:fill="auto"/>
            <w:vAlign w:val="center"/>
          </w:tcPr>
          <w:p w14:paraId="4B0FFF6D">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设计方案</w:t>
            </w:r>
          </w:p>
        </w:tc>
        <w:tc>
          <w:tcPr>
            <w:tcW w:w="473" w:type="pct"/>
            <w:tcBorders>
              <w:top w:val="nil"/>
              <w:left w:val="single" w:color="000000" w:sz="8" w:space="0"/>
              <w:bottom w:val="single" w:color="000000" w:sz="8" w:space="0"/>
              <w:right w:val="single" w:color="000000" w:sz="8" w:space="0"/>
            </w:tcBorders>
            <w:shd w:val="clear" w:color="auto" w:fill="auto"/>
            <w:vAlign w:val="center"/>
          </w:tcPr>
          <w:p w14:paraId="1AB54728">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10</w:t>
            </w:r>
          </w:p>
        </w:tc>
        <w:tc>
          <w:tcPr>
            <w:tcW w:w="3767" w:type="pct"/>
            <w:tcBorders>
              <w:top w:val="nil"/>
              <w:left w:val="single" w:color="000000" w:sz="8" w:space="0"/>
              <w:bottom w:val="single" w:color="000000" w:sz="8" w:space="0"/>
              <w:right w:val="single" w:color="000000" w:sz="8" w:space="0"/>
            </w:tcBorders>
            <w:shd w:val="clear" w:color="auto" w:fill="auto"/>
            <w:vAlign w:val="center"/>
          </w:tcPr>
          <w:p w14:paraId="60100EBA">
            <w:pP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根据各供应商的设计方案（包括但不限于设计风格、色彩选择、图像设计、排版布局、规范要求）进行评审：</w:t>
            </w:r>
          </w:p>
          <w:p w14:paraId="0A1C29B8">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设计方案完全符合对应物品的用途和功能，充分考虑到设计整体风格的统一性和协调性；色彩选择有识别度和吸引力，图像设计、排版布局非常简洁、明了，突出重点信息，标识标牌的设计符合相关的规范和标准设置要求，完全基于医院形象而设计的，得10分；</w:t>
            </w:r>
          </w:p>
          <w:p w14:paraId="08F7397A">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2、设计方案符合对应物品的用途和功能，考虑到设计整体风格的统一性和协调性；色彩选择有一定识别度，图像设计、排版布局简洁、明了，标识标牌的设计基本符合相关的规范和标准，得7分；</w:t>
            </w:r>
          </w:p>
          <w:p w14:paraId="089DBA9C">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4、设计方案整体风格的杂乱，色彩选择识别度低，图像设计、排版布局混乱，标识标牌的设计不太符合相关的规范和标准，设计方案未有针对性，得4分； 5、未提供设计方案的不得分。</w:t>
            </w:r>
          </w:p>
        </w:tc>
      </w:tr>
      <w:tr w14:paraId="11473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378" w:type="pct"/>
            <w:tcBorders>
              <w:top w:val="nil"/>
              <w:left w:val="single" w:color="000000" w:sz="8" w:space="0"/>
              <w:bottom w:val="single" w:color="000000" w:sz="8" w:space="0"/>
              <w:right w:val="single" w:color="000000" w:sz="8" w:space="0"/>
            </w:tcBorders>
            <w:shd w:val="clear" w:color="auto" w:fill="auto"/>
            <w:vAlign w:val="center"/>
          </w:tcPr>
          <w:p w14:paraId="7A553C75">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3</w:t>
            </w:r>
          </w:p>
        </w:tc>
        <w:tc>
          <w:tcPr>
            <w:tcW w:w="380" w:type="pct"/>
            <w:tcBorders>
              <w:top w:val="nil"/>
              <w:left w:val="single" w:color="000000" w:sz="8" w:space="0"/>
              <w:bottom w:val="single" w:color="000000" w:sz="8" w:space="0"/>
              <w:right w:val="single" w:color="000000" w:sz="8" w:space="0"/>
            </w:tcBorders>
            <w:shd w:val="clear" w:color="auto" w:fill="auto"/>
            <w:vAlign w:val="center"/>
          </w:tcPr>
          <w:p w14:paraId="44753340">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lang w:val="en-US"/>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项目实施组织方案</w:t>
            </w:r>
          </w:p>
        </w:tc>
        <w:tc>
          <w:tcPr>
            <w:tcW w:w="473" w:type="pct"/>
            <w:tcBorders>
              <w:top w:val="nil"/>
              <w:left w:val="single" w:color="000000" w:sz="8" w:space="0"/>
              <w:bottom w:val="single" w:color="000000" w:sz="8" w:space="0"/>
              <w:right w:val="single" w:color="000000" w:sz="8" w:space="0"/>
            </w:tcBorders>
            <w:shd w:val="clear" w:color="auto" w:fill="auto"/>
            <w:vAlign w:val="center"/>
          </w:tcPr>
          <w:p w14:paraId="52CCCD48">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10</w:t>
            </w:r>
          </w:p>
        </w:tc>
        <w:tc>
          <w:tcPr>
            <w:tcW w:w="3767" w:type="pct"/>
            <w:tcBorders>
              <w:top w:val="nil"/>
              <w:left w:val="single" w:color="000000" w:sz="8" w:space="0"/>
              <w:bottom w:val="single" w:color="000000" w:sz="8" w:space="0"/>
              <w:right w:val="single" w:color="000000" w:sz="8" w:space="0"/>
            </w:tcBorders>
            <w:shd w:val="clear" w:color="auto" w:fill="auto"/>
            <w:vAlign w:val="center"/>
          </w:tcPr>
          <w:p w14:paraId="02C3087F">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根据供应商对采购需求的理解，所制定的项目实施方案（包括但不限于①项目整体实施计划、②各项服务管理和组织实施方案、③工作全流程运作方案等方面）进行评审：</w:t>
            </w:r>
          </w:p>
          <w:p w14:paraId="6F41BB19">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涵盖以上所有内容项，实施组织方案思路清晰、完整，部署及措施可靠，对项目主要及关键方案有深入的表述，对重点、难点分析透彻，解决方案切实可行、施工组织方案（含安全文明施工）内容全面、完整、准确、吻合采购要求及现场情况，得10分；</w:t>
            </w:r>
          </w:p>
          <w:p w14:paraId="2DD1064E">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涵盖以上所有内容项，实施组织方案较完整、思路较清晰，部署及措施可行性较高，对项目主要及关键方案有较深入的表述，对重点、难点分析较透彻，解决方案可行性较高、施工组织方案（含安全文明施工）内容较全面，基本吻合采购要求及现场情况，得7分；</w:t>
            </w:r>
          </w:p>
          <w:p w14:paraId="5C6D6BDF">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3、涵盖以上所有内容项，实施组织方案思路不清晰，部署及措施针对性可行性一般，对项目主要及关键方案有一般的表述，对重点、难点分析透彻，解决方案切实可行、施工组织方案（含安全文明施工）内容不全、与采购要求及现场情况吻合度不高，得4分；</w:t>
            </w:r>
          </w:p>
          <w:p w14:paraId="70A87D20">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i w:val="0"/>
                <w:iCs w:val="0"/>
                <w:color w:val="000000"/>
                <w:sz w:val="18"/>
                <w:szCs w:val="18"/>
                <w:highlight w:val="none"/>
                <w:u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4、未涵盖以上所有内容项，或未提供方案不得分。</w:t>
            </w:r>
          </w:p>
        </w:tc>
      </w:tr>
      <w:tr w14:paraId="4C14D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378" w:type="pct"/>
            <w:tcBorders>
              <w:top w:val="nil"/>
              <w:left w:val="single" w:color="000000" w:sz="8" w:space="0"/>
              <w:bottom w:val="single" w:color="000000" w:sz="8" w:space="0"/>
              <w:right w:val="single" w:color="000000" w:sz="8" w:space="0"/>
            </w:tcBorders>
            <w:shd w:val="clear" w:color="auto" w:fill="auto"/>
            <w:vAlign w:val="center"/>
          </w:tcPr>
          <w:p w14:paraId="00EEF82F">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4</w:t>
            </w:r>
          </w:p>
        </w:tc>
        <w:tc>
          <w:tcPr>
            <w:tcW w:w="380" w:type="pct"/>
            <w:tcBorders>
              <w:top w:val="nil"/>
              <w:left w:val="single" w:color="000000" w:sz="8" w:space="0"/>
              <w:bottom w:val="single" w:color="000000" w:sz="8" w:space="0"/>
              <w:right w:val="single" w:color="000000" w:sz="8" w:space="0"/>
            </w:tcBorders>
            <w:shd w:val="clear" w:color="auto" w:fill="auto"/>
            <w:vAlign w:val="center"/>
          </w:tcPr>
          <w:p w14:paraId="61751BA4">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供货、送货与退换货方案</w:t>
            </w:r>
          </w:p>
        </w:tc>
        <w:tc>
          <w:tcPr>
            <w:tcW w:w="473" w:type="pct"/>
            <w:tcBorders>
              <w:top w:val="nil"/>
              <w:left w:val="single" w:color="000000" w:sz="8" w:space="0"/>
              <w:bottom w:val="single" w:color="000000" w:sz="8" w:space="0"/>
              <w:right w:val="single" w:color="000000" w:sz="8" w:space="0"/>
            </w:tcBorders>
            <w:shd w:val="clear" w:color="auto" w:fill="auto"/>
            <w:vAlign w:val="center"/>
          </w:tcPr>
          <w:p w14:paraId="7A38EB4B">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6</w:t>
            </w:r>
          </w:p>
        </w:tc>
        <w:tc>
          <w:tcPr>
            <w:tcW w:w="3767" w:type="pct"/>
            <w:tcBorders>
              <w:top w:val="nil"/>
              <w:left w:val="single" w:color="000000" w:sz="8" w:space="0"/>
              <w:bottom w:val="single" w:color="000000" w:sz="8" w:space="0"/>
              <w:right w:val="single" w:color="000000" w:sz="8" w:space="0"/>
            </w:tcBorders>
            <w:shd w:val="clear" w:color="auto" w:fill="auto"/>
            <w:vAlign w:val="center"/>
          </w:tcPr>
          <w:p w14:paraId="276772AE">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根据供应商提供的供货、送货与退货方案（包括但不限于货物采购、货物包装、货物运输方式、交货方案、退换货及修理损坏货物的时间、流程、便利性说明）进行评审：</w:t>
            </w:r>
          </w:p>
          <w:p w14:paraId="2545B9B7">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1、供应商提供的供货、送货与退货方案上述各项内容完整，时间及逻辑均安排合理、科学，完全满足采购需求，得6分；</w:t>
            </w:r>
          </w:p>
          <w:p w14:paraId="36647FC3">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2、供应商提供的供货、送货与退货方案内容较完整（至少包含上述4种方案），方案的条理清晰、逻辑通顺满足采购需求的，得4分；</w:t>
            </w:r>
          </w:p>
          <w:p w14:paraId="18EA17EB">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3、供应商提供的供货、送货与退货方案内容较完整不完整或缺漏（至少包含上述2种方案），方案不够全面，对本项目采购需求缺少针对性的，得2分；4、未提供对应措施不得分。</w:t>
            </w:r>
          </w:p>
        </w:tc>
      </w:tr>
      <w:tr w14:paraId="60327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378" w:type="pct"/>
            <w:tcBorders>
              <w:top w:val="nil"/>
              <w:left w:val="single" w:color="000000" w:sz="8" w:space="0"/>
              <w:bottom w:val="single" w:color="000000" w:sz="8" w:space="0"/>
              <w:right w:val="single" w:color="000000" w:sz="8" w:space="0"/>
            </w:tcBorders>
            <w:shd w:val="clear" w:color="auto" w:fill="auto"/>
            <w:vAlign w:val="center"/>
          </w:tcPr>
          <w:p w14:paraId="0BAC424F">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5</w:t>
            </w:r>
          </w:p>
        </w:tc>
        <w:tc>
          <w:tcPr>
            <w:tcW w:w="380" w:type="pct"/>
            <w:tcBorders>
              <w:top w:val="nil"/>
              <w:left w:val="single" w:color="000000" w:sz="8" w:space="0"/>
              <w:bottom w:val="single" w:color="000000" w:sz="8" w:space="0"/>
              <w:right w:val="single" w:color="000000" w:sz="8" w:space="0"/>
            </w:tcBorders>
            <w:shd w:val="clear" w:color="auto" w:fill="auto"/>
            <w:vAlign w:val="center"/>
          </w:tcPr>
          <w:p w14:paraId="71D6FDE9">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lang w:val="en-US"/>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售后服务方案</w:t>
            </w:r>
          </w:p>
        </w:tc>
        <w:tc>
          <w:tcPr>
            <w:tcW w:w="473" w:type="pct"/>
            <w:tcBorders>
              <w:top w:val="nil"/>
              <w:left w:val="single" w:color="000000" w:sz="8" w:space="0"/>
              <w:bottom w:val="single" w:color="000000" w:sz="8" w:space="0"/>
              <w:right w:val="single" w:color="000000" w:sz="8" w:space="0"/>
            </w:tcBorders>
            <w:shd w:val="clear" w:color="auto" w:fill="auto"/>
            <w:vAlign w:val="center"/>
          </w:tcPr>
          <w:p w14:paraId="6EF876C6">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8</w:t>
            </w:r>
          </w:p>
        </w:tc>
        <w:tc>
          <w:tcPr>
            <w:tcW w:w="3767" w:type="pct"/>
            <w:tcBorders>
              <w:top w:val="nil"/>
              <w:left w:val="single" w:color="000000" w:sz="8" w:space="0"/>
              <w:bottom w:val="single" w:color="000000" w:sz="8" w:space="0"/>
              <w:right w:val="single" w:color="000000" w:sz="8" w:space="0"/>
            </w:tcBorders>
            <w:shd w:val="clear" w:color="auto" w:fill="auto"/>
            <w:vAlign w:val="center"/>
          </w:tcPr>
          <w:p w14:paraId="47E0C363">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供应商提供本项目的售后服务方案，方案内容包括：驻点人员的配置、质保期内的服务内容、售后服务响应时间、售后服务人员配备情况等内容进行评审：</w:t>
            </w:r>
          </w:p>
          <w:p w14:paraId="080EFB65">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1、售后服务方案包括质保期内的服务内容、售后服务响应时间、售后服务人员配备情况等内容完全满足或优于采购需求，并能提供相应佐证材料的，得8分；</w:t>
            </w:r>
          </w:p>
          <w:p w14:paraId="0BA055E9">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2、售后服务方案包括质保期内的服务内容、售后服务响应时间、售后服务人员配备情况等内容部分满足采购需求，并能提供相应佐证材料的得4分；</w:t>
            </w:r>
          </w:p>
          <w:p w14:paraId="688AC49A">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3、其他或无响应，得0分。</w:t>
            </w:r>
          </w:p>
        </w:tc>
      </w:tr>
      <w:tr w14:paraId="69E81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378" w:type="pct"/>
            <w:tcBorders>
              <w:top w:val="nil"/>
              <w:left w:val="single" w:color="000000" w:sz="8" w:space="0"/>
              <w:bottom w:val="single" w:color="000000" w:sz="8" w:space="0"/>
              <w:right w:val="single" w:color="000000" w:sz="8" w:space="0"/>
            </w:tcBorders>
            <w:shd w:val="clear" w:color="auto" w:fill="auto"/>
            <w:vAlign w:val="center"/>
          </w:tcPr>
          <w:p w14:paraId="06FDB1ED">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color w:val="auto"/>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color w:val="auto"/>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6</w:t>
            </w:r>
          </w:p>
        </w:tc>
        <w:tc>
          <w:tcPr>
            <w:tcW w:w="380" w:type="pct"/>
            <w:tcBorders>
              <w:top w:val="nil"/>
              <w:left w:val="single" w:color="000000" w:sz="8" w:space="0"/>
              <w:bottom w:val="single" w:color="000000" w:sz="8" w:space="0"/>
              <w:right w:val="single" w:color="000000" w:sz="8" w:space="0"/>
            </w:tcBorders>
            <w:shd w:val="clear" w:color="auto" w:fill="auto"/>
            <w:vAlign w:val="center"/>
          </w:tcPr>
          <w:p w14:paraId="70AEA5E2">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lang w:val="en-US"/>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color w:val="auto"/>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供货时间</w:t>
            </w:r>
          </w:p>
        </w:tc>
        <w:tc>
          <w:tcPr>
            <w:tcW w:w="473" w:type="pct"/>
            <w:tcBorders>
              <w:top w:val="nil"/>
              <w:left w:val="single" w:color="000000" w:sz="8" w:space="0"/>
              <w:bottom w:val="single" w:color="000000" w:sz="8" w:space="0"/>
              <w:right w:val="single" w:color="000000" w:sz="8" w:space="0"/>
            </w:tcBorders>
            <w:shd w:val="clear" w:color="auto" w:fill="auto"/>
            <w:vAlign w:val="center"/>
          </w:tcPr>
          <w:p w14:paraId="02809D06">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color w:val="auto"/>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color w:val="auto"/>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6</w:t>
            </w:r>
          </w:p>
        </w:tc>
        <w:tc>
          <w:tcPr>
            <w:tcW w:w="3767" w:type="pct"/>
            <w:tcBorders>
              <w:top w:val="nil"/>
              <w:left w:val="single" w:color="000000" w:sz="8" w:space="0"/>
              <w:bottom w:val="single" w:color="000000" w:sz="8" w:space="0"/>
              <w:right w:val="single" w:color="000000" w:sz="8" w:space="0"/>
            </w:tcBorders>
            <w:shd w:val="clear" w:color="auto" w:fill="auto"/>
            <w:vAlign w:val="center"/>
          </w:tcPr>
          <w:p w14:paraId="03F02BEF">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对供应商提交的项目需求清单中的供货时间进行评价（以设计方案确定时间为起始时间计算）。</w:t>
            </w:r>
          </w:p>
          <w:p w14:paraId="2D66644D">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1、所列清单中，最长供应时间小于或等于7个自然日的，得6分；</w:t>
            </w:r>
          </w:p>
          <w:p w14:paraId="095DC89C">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2、所列清单中，最长供应时间小于或等于10个自然日的，得3分；</w:t>
            </w:r>
          </w:p>
          <w:p w14:paraId="5C3DEDA3">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3、所列清单中，最长供应时间大于10个自然日的，得0分。</w:t>
            </w:r>
          </w:p>
        </w:tc>
      </w:tr>
      <w:tr w14:paraId="213DA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78" w:type="pct"/>
            <w:tcBorders>
              <w:top w:val="nil"/>
              <w:left w:val="single" w:color="000000" w:sz="8" w:space="0"/>
              <w:bottom w:val="single" w:color="000000" w:sz="8" w:space="0"/>
              <w:right w:val="single" w:color="000000" w:sz="8" w:space="0"/>
            </w:tcBorders>
            <w:shd w:val="clear" w:color="auto" w:fill="auto"/>
            <w:vAlign w:val="center"/>
          </w:tcPr>
          <w:p w14:paraId="6E5E74FA">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7</w:t>
            </w:r>
          </w:p>
        </w:tc>
        <w:tc>
          <w:tcPr>
            <w:tcW w:w="380" w:type="pct"/>
            <w:tcBorders>
              <w:top w:val="nil"/>
              <w:left w:val="single" w:color="000000" w:sz="8" w:space="0"/>
              <w:bottom w:val="single" w:color="000000" w:sz="8" w:space="0"/>
              <w:right w:val="single" w:color="000000" w:sz="8" w:space="0"/>
            </w:tcBorders>
            <w:shd w:val="clear" w:color="auto" w:fill="auto"/>
            <w:vAlign w:val="center"/>
          </w:tcPr>
          <w:p w14:paraId="13506301">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kern w:val="2"/>
                <w:sz w:val="18"/>
                <w:szCs w:val="18"/>
                <w:highlight w:val="none"/>
                <w:u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项目负责团队</w:t>
            </w:r>
          </w:p>
        </w:tc>
        <w:tc>
          <w:tcPr>
            <w:tcW w:w="473" w:type="pct"/>
            <w:tcBorders>
              <w:top w:val="nil"/>
              <w:left w:val="single" w:color="000000" w:sz="8" w:space="0"/>
              <w:bottom w:val="single" w:color="000000" w:sz="8" w:space="0"/>
              <w:right w:val="single" w:color="000000" w:sz="8" w:space="0"/>
            </w:tcBorders>
            <w:shd w:val="clear" w:color="auto" w:fill="auto"/>
            <w:vAlign w:val="center"/>
          </w:tcPr>
          <w:p w14:paraId="09A33716">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10</w:t>
            </w:r>
          </w:p>
        </w:tc>
        <w:tc>
          <w:tcPr>
            <w:tcW w:w="3767" w:type="pct"/>
            <w:tcBorders>
              <w:top w:val="nil"/>
              <w:left w:val="single" w:color="000000" w:sz="8" w:space="0"/>
              <w:bottom w:val="single" w:color="000000" w:sz="8" w:space="0"/>
              <w:right w:val="single" w:color="000000" w:sz="8" w:space="0"/>
            </w:tcBorders>
            <w:shd w:val="clear" w:color="auto" w:fill="auto"/>
            <w:vAlign w:val="center"/>
          </w:tcPr>
          <w:p w14:paraId="374A6F4C">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 xml:space="preserve">1、拟专职投入本项目的团队人数5人或以上得5分；3人至4人的，得3分；2人或以下，得0分； </w:t>
            </w:r>
          </w:p>
          <w:p w14:paraId="4D3B538E">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2、项目团队成员有从事宣传标识相关工作经历5年以上（含5年）的（不同工作单位经历可以累计），得3分，</w:t>
            </w:r>
          </w:p>
          <w:p w14:paraId="42D39684">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5年（不含）以下不得分；</w:t>
            </w:r>
          </w:p>
          <w:p w14:paraId="068C59E6">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 xml:space="preserve">3、项目团队成员具有视觉传达设计专业、艺术设计学专业、公共艺术专业相关专业的，得2分，相关专业均不涉及的，不得分。 </w:t>
            </w:r>
          </w:p>
          <w:p w14:paraId="05E982E6">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注：须提供证书及工作经验（相关工作经验提供由供应商出具的声明文件（声明内容应包含该人员从事对应工作内容的起止时间及所负责的工作内容）证明材料，以及在供应商服务的外部证明材料扫描件（如截止日之前六个月以内任意月份的代缴个税税单或参加社会保险的《投保单》或《社会保险参保人员证明》等）。无提供的不得分。</w:t>
            </w:r>
          </w:p>
        </w:tc>
      </w:tr>
      <w:tr w14:paraId="1755B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378" w:type="pct"/>
            <w:tcBorders>
              <w:top w:val="nil"/>
              <w:left w:val="single" w:color="000000" w:sz="8" w:space="0"/>
              <w:bottom w:val="single" w:color="000000" w:sz="8" w:space="0"/>
              <w:right w:val="single" w:color="000000" w:sz="8" w:space="0"/>
            </w:tcBorders>
            <w:shd w:val="clear" w:color="auto" w:fill="auto"/>
            <w:vAlign w:val="center"/>
          </w:tcPr>
          <w:p w14:paraId="7199BBE5">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8</w:t>
            </w:r>
          </w:p>
        </w:tc>
        <w:tc>
          <w:tcPr>
            <w:tcW w:w="380" w:type="pct"/>
            <w:tcBorders>
              <w:top w:val="nil"/>
              <w:left w:val="single" w:color="000000" w:sz="8" w:space="0"/>
              <w:bottom w:val="single" w:color="000000" w:sz="8" w:space="0"/>
              <w:right w:val="single" w:color="000000" w:sz="8" w:space="0"/>
            </w:tcBorders>
            <w:shd w:val="clear" w:color="auto" w:fill="auto"/>
            <w:vAlign w:val="center"/>
          </w:tcPr>
          <w:p w14:paraId="3DAC8044">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kern w:val="2"/>
                <w:sz w:val="18"/>
                <w:szCs w:val="18"/>
                <w:highlight w:val="none"/>
                <w:u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同类业绩</w:t>
            </w:r>
          </w:p>
        </w:tc>
        <w:tc>
          <w:tcPr>
            <w:tcW w:w="473" w:type="pct"/>
            <w:tcBorders>
              <w:top w:val="nil"/>
              <w:left w:val="single" w:color="000000" w:sz="8" w:space="0"/>
              <w:bottom w:val="single" w:color="000000" w:sz="8" w:space="0"/>
              <w:right w:val="single" w:color="000000" w:sz="8" w:space="0"/>
            </w:tcBorders>
            <w:shd w:val="clear" w:color="auto" w:fill="auto"/>
            <w:vAlign w:val="center"/>
          </w:tcPr>
          <w:p w14:paraId="3B85454E">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default"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20</w:t>
            </w:r>
          </w:p>
        </w:tc>
        <w:tc>
          <w:tcPr>
            <w:tcW w:w="3767" w:type="pct"/>
            <w:tcBorders>
              <w:top w:val="nil"/>
              <w:left w:val="single" w:color="000000" w:sz="8" w:space="0"/>
              <w:bottom w:val="single" w:color="000000" w:sz="8" w:space="0"/>
              <w:right w:val="single" w:color="000000" w:sz="8" w:space="0"/>
            </w:tcBorders>
            <w:shd w:val="clear" w:color="auto" w:fill="auto"/>
            <w:vAlign w:val="center"/>
          </w:tcPr>
          <w:p w14:paraId="0AF4A41E">
            <w:pPr>
              <w:keepNext w:val="0"/>
              <w:keepLines w:val="0"/>
              <w:pageBreakBefore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2020年1月1日至今（以合同签订时间为准）承接过的同类项目业绩，每提供一个得3分，如承接过医院同类项目的，一个再加2分即5分/个，最高得20分。</w:t>
            </w:r>
          </w:p>
          <w:p w14:paraId="16D65BFD">
            <w:pPr>
              <w:keepNext w:val="0"/>
              <w:keepLines w:val="0"/>
              <w:pageBreakBefore w:val="0"/>
              <w:widowControl/>
              <w:kinsoku/>
              <w:wordWrap/>
              <w:overflowPunct/>
              <w:topLinePunct w:val="0"/>
              <w:autoSpaceDE/>
              <w:autoSpaceDN/>
              <w:bidi w:val="0"/>
              <w:adjustRightInd/>
              <w:snapToGrid/>
              <w:spacing w:line="360" w:lineRule="exact"/>
              <w:ind w:firstLine="0" w:firstLineChars="0"/>
              <w:jc w:val="both"/>
              <w:rPr>
                <w:rFonts w:hint="eastAsia" w:ascii="宋体" w:hAnsi="宋体" w:eastAsia="宋体" w:cs="宋体"/>
                <w:i w:val="0"/>
                <w:iCs w:val="0"/>
                <w:color w:val="000000"/>
                <w:sz w:val="18"/>
                <w:szCs w:val="18"/>
                <w:highlight w:val="none"/>
                <w:u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eastAsia="宋体" w:cs="宋体"/>
                <w:kern w:val="2"/>
                <w:sz w:val="18"/>
                <w:szCs w:val="18"/>
                <w:highlight w:val="none"/>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注：提供合同或发票完整扫描件，未提供或提供不完整不得分。</w:t>
            </w:r>
          </w:p>
        </w:tc>
      </w:tr>
    </w:tbl>
    <w:p w14:paraId="03227D08">
      <w:pPr>
        <w:rPr>
          <w:color w:val="000000" w:themeColor="text1"/>
          <w:highlight w:val="none"/>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p>
    <w:p w14:paraId="28ADF0B4"/>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2663E">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C57C86">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7C57C86">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F44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semiHidden/>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sz w:val="18"/>
    </w:rPr>
  </w:style>
  <w:style w:type="character" w:styleId="7">
    <w:name w:val="Strong"/>
    <w:basedOn w:val="6"/>
    <w:qFormat/>
    <w:uiPriority w:val="0"/>
    <w:rPr>
      <w:b/>
    </w:rPr>
  </w:style>
  <w:style w:type="paragraph" w:customStyle="1" w:styleId="8">
    <w:name w:val="Table Text"/>
    <w:basedOn w:val="1"/>
    <w:semiHidden/>
    <w:qFormat/>
    <w:uiPriority w:val="0"/>
    <w:rPr>
      <w:rFonts w:ascii="宋体" w:hAnsi="宋体" w:eastAsia="宋体" w:cs="宋体"/>
      <w:sz w:val="21"/>
      <w:szCs w:val="21"/>
      <w:lang w:val="en-US" w:eastAsia="en-US" w:bidi="ar-SA"/>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2025-03-10T02:53:03Z</dcterms:created>
  <dc:creator>Lenovo</dc:creator>
  <cp:lastModifiedBy>弱水^虞</cp:lastModifiedBy>
  <dcterms:modified xsi:type="dcterms:W3CDTF">2025-03-10T02:57:15Z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eyJoZGlkIjoiOGU1N2NlNjdlZTRkZDRiOTI3Njk1MDRlNmNlY2UwOGEiLCJ1c2VySWQiOiI0MDUwODAyNjgifQ==</vt:lpwstr>
  </property>
  <property fmtid="{D5CDD505-2E9C-101B-9397-08002B2CF9AE}" pid="4" name="ICV">
    <vt:lpwstr>439F5A5E5E2248888F2BE9D9418EBD4E_12</vt:lpwstr>
  </property>
</Properties>
</file>